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>The Hidden Spirit wurden im Herbst 2018 gegr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>ndet. Nach ersten erfolgreichen Konzerten ver</w:t>
      </w:r>
      <w:r>
        <w:rPr>
          <w:rFonts w:ascii="Arial" w:hAnsi="Arial" w:hint="default"/>
          <w:rtl w:val="0"/>
          <w:lang w:val="de-DE"/>
        </w:rPr>
        <w:t>ö</w:t>
      </w:r>
      <w:r>
        <w:rPr>
          <w:rFonts w:ascii="Arial" w:hAnsi="Arial"/>
          <w:rtl w:val="0"/>
          <w:lang w:val="de-DE"/>
        </w:rPr>
        <w:t>ffentlichten sie im Februar 2020 ihre Debut EP, die in Magazinen wie Rock Hard und Def Forever auf positive Resonanzen stie</w:t>
      </w:r>
      <w:r>
        <w:rPr>
          <w:rFonts w:ascii="Arial" w:hAnsi="Arial" w:hint="default"/>
          <w:rtl w:val="0"/>
          <w:lang w:val="de-DE"/>
        </w:rPr>
        <w:t>ß</w:t>
      </w:r>
      <w:r>
        <w:rPr>
          <w:rFonts w:ascii="Arial" w:hAnsi="Arial"/>
          <w:rtl w:val="0"/>
          <w:lang w:val="de-DE"/>
        </w:rPr>
        <w:t>. Vergleiche der Rezensenten zu Black Sabbath, Black Label Society und Fu Manchu beschreiben gut die Stilrichtung der Band: treibende Drums, muddy Riffs, erdige Basslines und kraftvoller Gesang mit Gesp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>r f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 xml:space="preserve">r Dynamik, aber auch mal ein Tritt auf die Bremse mit geschmackvollen cleanen Gitarrenparts sind angesagt. 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</w:pPr>
      <w:r>
        <w:rPr>
          <w:rFonts w:ascii="Arial" w:cs="Arial" w:hAnsi="Arial" w:eastAsia="Arial"/>
          <w:lang w:val="en-US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